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1-1205</w:t>
        <w:t xml:space="preserve">.  </w:t>
      </w:r>
      <w:r>
        <w:rPr>
          <w:b/>
        </w:rPr>
        <w:t xml:space="preserve">Reasonable time; seasonableness</w:t>
      </w:r>
    </w:p>
    <w:p>
      <w:pPr>
        <w:jc w:val="both"/>
        <w:spacing w:before="100" w:after="0"/>
        <w:ind w:start="360"/>
        <w:ind w:firstLine="360"/>
      </w:pPr>
      <w:r>
        <w:rPr>
          <w:b/>
        </w:rPr>
        <w:t>(1)</w:t>
        <w:t xml:space="preserve">.  </w:t>
      </w:r>
      <w:r>
        <w:rPr>
          <w:b/>
        </w:rPr>
      </w:r>
      <w:r>
        <w:t xml:space="preserve"> </w:t>
      </w:r>
      <w:r>
        <w:t xml:space="preserve">Whether a time for taking an action required by the Uniform Commercial Code is reasonable depends on the nature, purpose and circumstances of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 xml:space="preserve">An action is taken seasonably if it is taken at or within the time agreed or, if no time is agreed, at or within a reasonable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§1-1205. Reasonable time; seasonableness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§1-1205. Reasonable time; seasonableness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§1-1205. REASONABLE TIME; SEASONABLENESS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