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54-A</w:t>
      </w:r>
    </w:p>
    <w:p>
      <w:pPr>
        <w:jc w:val="center"/>
        <w:ind w:start="360"/>
        <w:spacing w:before="300" w:after="300"/>
      </w:pPr>
      <w:r>
        <w:rPr>
          <w:b/>
        </w:rPr>
        <w:t xml:space="preserve">PROTECTIVE ORDER</w:t>
      </w:r>
    </w:p>
    <w:p>
      <w:pPr>
        <w:jc w:val="both"/>
        <w:spacing w:before="100" w:after="100"/>
        <w:ind w:start="1080" w:hanging="720"/>
      </w:pPr>
      <w:r>
        <w:rPr>
          <w:b/>
        </w:rPr>
        <w:t>§</w:t>
        <w:t>1331</w:t>
        <w:t xml:space="preserve">.  </w:t>
      </w:r>
      <w:r>
        <w:rPr>
          <w:b/>
        </w:rPr>
        <w:t xml:space="preserve">Protective orders in crimes between family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§§2,7 (NEW). PL 1979, c. 677, §3 (RP). PL 1979, c. 677, §18 (AMD). PL 1983, c. 583,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54-A. PROTECTIVE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54-A. PROTECTIVE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54-A. PROTECTIVE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