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BOMBS</w:t>
      </w:r>
    </w:p>
    <w:p>
      <w:pPr>
        <w:jc w:val="center"/>
        <w:ind w:start="360"/>
        <w:spacing w:before="300" w:after="300"/>
      </w:pPr>
      <w:r>
        <w:rPr>
          <w:b/>
        </w:rPr>
        <w:t>(REPEALED)</w:t>
      </w:r>
    </w:p>
    <w:p>
      <w:pPr>
        <w:jc w:val="both"/>
        <w:spacing w:before="100" w:after="100"/>
        <w:ind w:start="1080" w:hanging="720"/>
      </w:pPr>
      <w:r>
        <w:rPr>
          <w:b/>
        </w:rPr>
        <w:t>§</w:t>
        <w:t>501</w:t>
        <w:t xml:space="preserve">.  </w:t>
      </w:r>
      <w:r>
        <w:rPr>
          <w:b/>
        </w:rPr>
        <w:t xml:space="preserve">Sending or deposit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502</w:t>
        <w:t xml:space="preserve">.  </w:t>
      </w:r>
      <w:r>
        <w:rPr>
          <w:b/>
        </w:rPr>
        <w:t xml:space="preserve">Construction, assembling or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 (RPR). PL 1975, c. 499, §5 (RP). </w:t>
      </w:r>
    </w:p>
    <w:p>
      <w:pPr>
        <w:jc w:val="both"/>
        <w:spacing w:before="100" w:after="100"/>
        <w:ind w:start="1080" w:hanging="720"/>
      </w:pPr>
      <w:r>
        <w:rPr>
          <w:b/>
        </w:rPr>
        <w:t>§</w:t>
        <w:t>503</w:t>
        <w:t xml:space="preserve">.  </w:t>
      </w:r>
      <w:r>
        <w:rPr>
          <w:b/>
        </w:rPr>
        <w:t xml:space="preserve">False reports of bombs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504</w:t>
        <w:t xml:space="preserve">.  </w:t>
      </w:r>
      <w:r>
        <w:rPr>
          <w:b/>
        </w:rPr>
        <w:t xml:space="preserve">Calling out public agency on false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 BOMBS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BOMBS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21. BOMBS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