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In every adult guardianship matter, the respondent must be examined by a medical practitioner who is acceptable to the court and who is qualified to evaluate the respondent's alleged cognitive and functional abilities.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As used in this subsection, "medical practitioner" means a licensed physician, a licensed physician assistant, a certified psychiatric clinical nurse specialist, a certified nurse practitioner or a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§4 (AMD).]</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276, §1 (AMD). PL 2019, c. 417, Pt. A, §27 (AMD). PL 2019, c. 417, Pt. B, §14 (AFF). PL 2019, c. 627,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§5-306. Professional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Professional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§5-306. PROFESSIONAL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