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899, §§3,4 (AMD). RR 1995, c. 2, §34 (COR). PL 1999, c. 668, §91 (AMD). PL 2001, c. 354, §3 (AMD). RR 2003, c. 2, §38 (COR). PL 2007, c. 539, Pt. JJJJ, §§3-5 (AMD). PL 2009, c. 147, §§3, 4 (AMD). PL 2011, c. 344, §22 (AMD). PL 2011, c. 348,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