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4263</w:t>
        <w:t xml:space="preserve">.  </w:t>
      </w:r>
      <w:r>
        <w:rPr>
          <w:b/>
        </w:rPr>
        <w:t xml:space="preserve">Financing of the interstate commission - Article 13</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Annual assessment.</w:t>
        <w:t xml:space="preserve"> </w:t>
      </w:r>
      <w:r>
        <w:t xml:space="preserve"> </w:t>
      </w:r>
      <w:r>
        <w:t xml:space="preserve">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by its members each year.  The aggregate annual assessment amount must be allocated based upon a formula to be determined by the interstate commission, which shall adopt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obligations of any kind prior to securing the funds adequate to meet the same, nor may the interstate commission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Accounts of receipts and disbursements.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§4263. Financing of the interstate commission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§4263. Financing of the interstate commission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§4263. FINANCING OF THE INTERSTATE COMMISSION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