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2542</w:t>
        <w:t xml:space="preserve">.  </w:t>
      </w:r>
      <w:r>
        <w:rPr>
          <w:b/>
        </w:rPr>
        <w:t xml:space="preserve">Applicability</w:t>
      </w:r>
    </w:p>
    <w:p>
      <w:pPr>
        <w:jc w:val="both"/>
        <w:spacing w:before="100" w:after="100"/>
        <w:ind w:start="360"/>
        <w:ind w:firstLine="360"/>
      </w:pPr>
      <w:r>
        <w:rPr/>
      </w:r>
      <w:r>
        <w:rPr/>
      </w:r>
      <w:r>
        <w:t>Sections 2541</w:t>
      </w:r>
      <w:r>
        <w:t xml:space="preserve"> to </w:t>
      </w:r>
      <w:r>
        <w:t>2551</w:t>
      </w:r>
      <w:r>
        <w:t xml:space="preserve"> shall not apply to any reinsurance, group annuity purchased under a retirement plan or plan of deferred compensation established or maintained by an employer, including a partnership or sole proprietorship, or by an employee organization, or by both, other than a plan providing individual retirement accounts or individual retirement annuities under the United States Internal Revenue Code, Section 408, as now or hereafter amended, premium deposit fund, variable annuity, investment annuity, immediate annuity, any deferred annuity contract after annuity payments have commenced, or reversionary annuity, nor to any contract which shall be delivered outside this State through an agent or other representative of the company issuing the contract.</w:t>
      </w:r>
      <w:r>
        <w:t xml:space="preserve">  </w:t>
      </w:r>
      <w:r xmlns:wp="http://schemas.openxmlformats.org/drawingml/2010/wordprocessingDrawing" xmlns:w15="http://schemas.microsoft.com/office/word/2012/wordml">
        <w:rPr>
          <w:rFonts w:ascii="Arial" w:hAnsi="Arial" w:cs="Arial"/>
          <w:sz w:val="22"/>
          <w:szCs w:val="22"/>
        </w:rPr>
        <w:t xml:space="preserve">[PL 1979, c. 442,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442,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§2542.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§2542.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§2542.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