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6914</w:t>
        <w:t xml:space="preserve">.  </w:t>
      </w:r>
      <w:r>
        <w:rPr>
          <w:b/>
        </w:rPr>
        <w:t xml:space="preserve">Intragovernmental transfer</w:t>
      </w:r>
    </w:p>
    <w:p>
      <w:pPr>
        <w:jc w:val="both"/>
        <w:spacing w:before="100" w:after="100"/>
        <w:ind w:start="360"/>
        <w:ind w:firstLine="360"/>
      </w:pPr>
      <w:r>
        <w:rPr/>
      </w:r>
      <w:r>
        <w:rPr/>
      </w:r>
      <w:r>
        <w:t xml:space="preserve">Starting July 1, 2004, and ending September 30, 2012, Dirigo Health shall transfer funds, as necessary, to a special dedicated, nonlapsing revenue account administered by the agency of State Government that administers MaineCare for the purpose of providing a state match for federal Medicaid services provided to individuals eligible pursuant to </w:t>
      </w:r>
      <w:r>
        <w:t>Title 22, section 3174‑G, subsection 1, paragraph E</w:t>
      </w:r>
      <w:r>
        <w:t xml:space="preserve"> whose nonfarm income is greater than 150% of the nonfarm income official poverty line and is below or equal to 200% of the nonfarm income official poverty line.  Dirigo Health shall annually set the amount of contribution.</w:t>
      </w:r>
      <w:r>
        <w:t xml:space="preserve">  </w:t>
      </w:r>
      <w:r xmlns:wp="http://schemas.openxmlformats.org/drawingml/2010/wordprocessingDrawing" xmlns:w15="http://schemas.microsoft.com/office/word/2012/wordml">
        <w:rPr>
          <w:rFonts w:ascii="Arial" w:hAnsi="Arial" w:cs="Arial"/>
          <w:sz w:val="22"/>
          <w:szCs w:val="22"/>
        </w:rPr>
        <w:t xml:space="preserve">[PL 2011, c. 477, Pt. Y, §1 (AMD).]</w:t>
      </w:r>
    </w:p>
    <w:p>
      <w:pPr>
        <w:jc w:val="both"/>
        <w:spacing w:before="100" w:after="100"/>
        <w:ind w:start="360"/>
        <w:ind w:firstLine="360"/>
      </w:pPr>
      <w:r>
        <w:rPr/>
      </w:r>
      <w:r>
        <w:rPr/>
      </w:r>
      <w:r>
        <w:t xml:space="preserve">Beginning January 1, 2012, and ending September 30, 2012, Dirigo Health shall transfer funds as necessary to a special dedicated, nonlapsing revenue account administered by the agency of State Government that administers MaineCare for the purpose of providing a state match for federal Medicaid services provided to individuals eligible pursuant to </w:t>
      </w:r>
      <w:r>
        <w:t>Title 22, section 3174‑G, subsection 1, paragraph E</w:t>
      </w:r>
      <w:r>
        <w:t xml:space="preserve"> whose nonfarm income is greater than 133% of the nonfarm income official poverty line and is below or equal to 150% of the nonfarm income official poverty line. Dirigo Health shall annually set the amount of contribution.</w:t>
      </w:r>
      <w:r>
        <w:t xml:space="preserve">  </w:t>
      </w:r>
      <w:r xmlns:wp="http://schemas.openxmlformats.org/drawingml/2010/wordprocessingDrawing" xmlns:w15="http://schemas.microsoft.com/office/word/2012/wordml">
        <w:rPr>
          <w:rFonts w:ascii="Arial" w:hAnsi="Arial" w:cs="Arial"/>
          <w:sz w:val="22"/>
          <w:szCs w:val="22"/>
        </w:rPr>
        <w:t xml:space="preserve">[PL 2011, c. 477, Pt. Y, §1 (AMD).]</w:t>
      </w:r>
    </w:p>
    <w:p>
      <w:pPr>
        <w:jc w:val="both"/>
        <w:spacing w:before="100" w:after="100"/>
        <w:ind w:start="360"/>
        <w:ind w:firstLine="360"/>
      </w:pPr>
      <w:r>
        <w:rPr/>
      </w:r>
      <w:r>
        <w:rPr/>
      </w:r>
      <w:r>
        <w:t xml:space="preserve">Beginning September 1, 2012, but not later than June 30, 2013, Dirigo Health shall transfer $7,210,000 from the Dirigo Health Enterprise Fund to the Medical Care - Payments to Providers, Other Special Revenue Funds account in the Department of Health and Human Services for the purpose of providing a state match for federal Medicaid services.</w:t>
      </w:r>
      <w:r>
        <w:t xml:space="preserve">  </w:t>
      </w:r>
      <w:r xmlns:wp="http://schemas.openxmlformats.org/drawingml/2010/wordprocessingDrawing" xmlns:w15="http://schemas.microsoft.com/office/word/2012/wordml">
        <w:rPr>
          <w:rFonts w:ascii="Arial" w:hAnsi="Arial" w:cs="Arial"/>
          <w:sz w:val="22"/>
          <w:szCs w:val="22"/>
        </w:rPr>
        <w:t xml:space="preserve">[PL 2013, c. 1, Pt. X,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2005, c. 400, §A14 (AMD). PL 2011, c. 380, Pt. BBB, §1 (AMD). PL 2011, c. 477, Pt. Y, §1 (AMD). PL 2013, c. 1, Pt. X,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§6914. Intragovernmental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§6914. Intragovernmental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§6914. INTRAGOVERNMENTAL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