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2168</w:t>
        <w:t xml:space="preserve">.  </w:t>
      </w:r>
      <w:r>
        <w:rPr>
          <w:b/>
        </w:rPr>
        <w:t xml:space="preserve">Complaint to administrator about conduct of person conducting examination</w:t>
      </w:r>
    </w:p>
    <w:p>
      <w:pPr>
        <w:jc w:val="both"/>
        <w:spacing w:before="100" w:after="100"/>
        <w:ind w:start="360"/>
        <w:ind w:firstLine="360"/>
      </w:pPr>
      <w:r>
        <w:rPr/>
      </w:r>
      <w:r>
        <w:rPr/>
      </w:r>
      <w:r>
        <w:t xml:space="preserve">If a person subject to examination under </w:t>
      </w:r>
      <w:r>
        <w:t>section 2162</w:t>
      </w:r>
      <w:r>
        <w:t xml:space="preserve">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The administrator shall respond to all such requests within 30 days of receipt of the complaint.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§2168. Complaint to administrator about conduct of person conducting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§2168. Complaint to administrator about conduct of person conducting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§2168. COMPLAINT TO ADMINISTRATOR ABOUT CONDUCT OF PERSON CONDUCTING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