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 decree</w:t>
      </w:r>
    </w:p>
    <w:p>
      <w:pPr>
        <w:jc w:val="both"/>
        <w:spacing w:before="100" w:after="100"/>
        <w:ind w:start="360"/>
        <w:ind w:firstLine="360"/>
      </w:pPr>
      <w:r>
        <w:rPr/>
      </w:r>
      <w:r>
        <w:rPr/>
      </w:r>
      <w:r>
        <w:t xml:space="preserve">If it appears that the plaintiff is entitled to a conveyance, the court may require the personal representative, successor or distributee to convey the estate as the deceased ought to have done. The conveyance shall pass the estate as fully as if made by the contractor.</w:t>
      </w:r>
      <w:r>
        <w:t xml:space="preserve">  </w:t>
      </w:r>
      <w:r xmlns:wp="http://schemas.openxmlformats.org/drawingml/2010/wordprocessingDrawing" xmlns:w15="http://schemas.microsoft.com/office/word/2012/wordml">
        <w:rPr>
          <w:rFonts w:ascii="Arial" w:hAnsi="Arial" w:cs="Arial"/>
          <w:sz w:val="22"/>
          <w:szCs w:val="22"/>
        </w:rPr>
        <w:t xml:space="preserve">[PL 1979, c. 540,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 --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