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8-A</w:t>
        <w:t xml:space="preserve">.  </w:t>
      </w:r>
      <w:r>
        <w:rPr>
          <w:b/>
        </w:rPr>
        <w:t xml:space="preserve">Declaration of purpose</w:t>
      </w:r>
    </w:p>
    <w:p>
      <w:pPr>
        <w:jc w:val="both"/>
        <w:spacing w:before="100" w:after="100"/>
        <w:ind w:start="360"/>
        <w:ind w:firstLine="360"/>
      </w:pPr>
      <w:r>
        <w:rPr/>
      </w:r>
      <w:r>
        <w:rPr/>
      </w:r>
      <w:r>
        <w:t xml:space="preserve">For the benefit of the people of the State, it is essential that certain activities of the State Government be constantly reviewed in order to provide essential state services more efficiently and economically. To aid in accomplishing this purpose and due to improved travel conditions and communications, housing for state employees at state institutions and other areas of State Government and commissaries operated by state departments for the sale of food and food supplies to state employees shall be controlled as set forth in </w:t>
      </w:r>
      <w:r>
        <w:t>sections 8‑B</w:t>
      </w:r>
      <w:r>
        <w:t xml:space="preserve"> and </w:t>
      </w:r>
      <w:r>
        <w:t>8‑C</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1971, c. 588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§8-A.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§8-A.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§8-A.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