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107</w:t>
      </w:r>
    </w:p>
    <w:p>
      <w:pPr>
        <w:jc w:val="center"/>
        <w:ind w:start="360"/>
        <w:spacing w:before="300" w:after="300"/>
      </w:pPr>
      <w:r>
        <w:rPr>
          <w:b/>
        </w:rPr>
        <w:t xml:space="preserve">MERCHANT BANKING</w:t>
      </w:r>
    </w:p>
    <w:p>
      <w:pPr>
        <w:jc w:val="center"/>
        <w:ind w:start="360"/>
        <w:spacing w:before="300" w:after="300"/>
      </w:pPr>
      <w:r>
        <w:rPr>
          <w:b/>
        </w:rPr>
        <w:t>(REPEALED)</w:t>
      </w:r>
    </w:p>
    <w:p>
      <w:pPr>
        <w:jc w:val="both"/>
        <w:spacing w:before="100" w:after="100"/>
        <w:ind w:start="1080" w:hanging="720"/>
      </w:pPr>
      <w:r>
        <w:rPr>
          <w:b/>
        </w:rPr>
        <w:t>§</w:t>
        <w:t>1101</w:t>
        <w:t xml:space="preserve">.  </w:t>
      </w:r>
      <w:r>
        <w:rPr>
          <w:b/>
        </w:rPr>
        <w:t xml:space="preserve">Organization and structure of merchant banks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 §6 (NEW). PL 1997, c. 398, §J1 (RP). </w:t>
      </w:r>
    </w:p>
    <w:p>
      <w:pPr>
        <w:jc w:val="both"/>
        <w:spacing w:before="100" w:after="100"/>
        <w:ind w:start="1080" w:hanging="720"/>
      </w:pPr>
      <w:r>
        <w:rPr>
          <w:b/>
        </w:rPr>
        <w:t>§</w:t>
        <w:t>1102</w:t>
        <w:t xml:space="preserve">.  </w:t>
      </w:r>
      <w:r>
        <w:rPr>
          <w:b/>
        </w:rPr>
        <w:t xml:space="preserve">Business of merchant banks; powers;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 §6 (NEW). PL 1997, c. 398, §J1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107. MERCHANT BANKING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107. MERCHANT BANKING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107. MERCHANT BANKING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