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Default on proceedings after judgment</w:t>
      </w:r>
    </w:p>
    <w:p>
      <w:pPr>
        <w:jc w:val="both"/>
        <w:spacing w:before="100" w:after="100"/>
        <w:ind w:start="360"/>
        <w:ind w:firstLine="360"/>
      </w:pPr>
      <w:r>
        <w:rPr/>
      </w:r>
      <w:r>
        <w:rPr/>
      </w:r>
      <w:r>
        <w:t xml:space="preserve">If a trustee defaulted on proceedings after judgment was examined in the original action, judgment shall be rendered on the facts stated in his disclosure or proved at the trial, for such part of the goods, effects and credits for which he is chargeable as trustee as remain in his hands, if any, or so much thereof as is then due and unsatisfied on the judgment against the principal defendant. If it appears that such person paid and delivered the whole amount thereof on the execution issued on the original judgment, he is not liable for costs on the proceedings after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§2954. Default on proceedings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Default on proceedings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§2954. DEFAULT ON PROCEEDINGS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