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7155</w:t>
        <w:t xml:space="preserve">.  </w:t>
      </w:r>
      <w:r>
        <w:rPr>
          <w:b/>
        </w:rPr>
        <w:t xml:space="preserve">Libel in Superior Court; notice</w:t>
      </w:r>
    </w:p>
    <w:p>
      <w:pPr>
        <w:jc w:val="both"/>
        <w:spacing w:before="100" w:after="100"/>
        <w:ind w:start="360"/>
        <w:ind w:firstLine="360"/>
      </w:pPr>
      <w:r>
        <w:rPr/>
      </w:r>
      <w:r>
        <w:rPr/>
      </w:r>
      <w:r>
        <w:t xml:space="preserve">The party seizing, within 20 days, shall file a complaint in the clerk's office of the Superior Court in the county where the offense was committed, stating the cause of seizure and praying for an order of forfeiture. The clerk shall thereupon make out a notice to all persons to appear at such court at the time appointed to show cause why such order should not be passed, which notice shall be published in some newspaper printed in the county, if any, if not, in the state paper, at least 14 days before the time of trial.</w:t>
      </w:r>
      <w:r>
        <w:t xml:space="preserve">  </w:t>
      </w:r>
      <w:r xmlns:wp="http://schemas.openxmlformats.org/drawingml/2010/wordprocessingDrawing" xmlns:w15="http://schemas.microsoft.com/office/word/2012/wordml">
        <w:rPr>
          <w:rFonts w:ascii="Arial" w:hAnsi="Arial" w:cs="Arial"/>
          <w:sz w:val="22"/>
          <w:szCs w:val="22"/>
        </w:rPr>
        <w:t xml:space="preserve">[PL 1967, c. 544,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§7155. Libel in Superior Court;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§7155. Libel in Superior Court;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§7155. LIBEL IN SUPERIOR COURT;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