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Acts by holder of general power</w:t>
      </w:r>
    </w:p>
    <w:p>
      <w:pPr>
        <w:jc w:val="both"/>
        <w:spacing w:before="100" w:after="100"/>
        <w:ind w:start="360"/>
        <w:ind w:firstLine="360"/>
      </w:pPr>
      <w:r>
        <w:rPr/>
      </w:r>
      <w:r>
        <w:rPr/>
      </w:r>
      <w:r>
        <w:t xml:space="preserve">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holders of a presently exercisable general power of appointment, including one in the form of a power of amendment or revocation, are deemed to act for beneficiaries to the extent their interests, as objects,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Acts by holder of general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Acts by holder of general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7. ACTS BY HOLDER OF GENERAL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