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3-505</w:t>
        <w:t xml:space="preserve">.  </w:t>
      </w:r>
      <w:r>
        <w:rPr>
          <w:b/>
        </w:rPr>
        <w:t xml:space="preserve">Supervised administration; interim orders; distribution and closing orders</w:t>
      </w:r>
    </w:p>
    <w:p>
      <w:pPr>
        <w:jc w:val="both"/>
        <w:spacing w:before="100" w:after="100"/>
        <w:ind w:start="360"/>
        <w:ind w:firstLine="360"/>
      </w:pPr>
      <w:r>
        <w:rPr/>
      </w:r>
      <w:r>
        <w:rPr/>
      </w:r>
      <w:r>
        <w:t xml:space="preserve">Unless otherwise ordered by the court, supervised administration is terminated by order in accordance with time restrictions, notices and contents of orders prescribed for proceedings under </w:t>
      </w:r>
      <w:r>
        <w:t>section 3‑1001</w:t>
      </w:r>
      <w:r>
        <w:t xml:space="preserve">.  Interim orders approving or directing partial distributions or granting other relief may be issued by the court at any time during the pendency of a supervised administration on the application of the personal representative or any interested person.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§3-505. Supervised administration; interim orders; distribution and closing orders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§3-505. Supervised administration; interim orders; distribution and closing orders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§3-505. SUPERVISED ADMINISTRATION; INTERIM ORDERS; DISTRIBUTION AND CLOSING ORDERS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