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3-812</w:t>
        <w:t xml:space="preserve">.  </w:t>
      </w:r>
      <w:r>
        <w:rPr>
          <w:b/>
        </w:rPr>
        <w:t xml:space="preserve">Execution and levies prohibited</w:t>
      </w:r>
    </w:p>
    <w:p>
      <w:pPr>
        <w:jc w:val="both"/>
        <w:spacing w:before="100" w:after="100"/>
        <w:ind w:start="360"/>
        <w:ind w:firstLine="360"/>
      </w:pPr>
      <w:r>
        <w:rPr/>
      </w:r>
      <w:r>
        <w:rPr/>
      </w:r>
      <w:r>
        <w:t xml:space="preserve">No execution may issue upon nor may any levy be made against any property of the estate under any judgment against a decedent or a personal representative, but this section may not be construed to prevent the enforcement of mortgages, pledges or liens upon real or personal property in an appropriate proceeding.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§3-812. Execution and levies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§3-812. Execution and levies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§3-812. EXECUTION AND LEVIES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