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189</w:t>
      </w:r>
    </w:p>
    <w:p>
      <w:pPr>
        <w:jc w:val="center"/>
        <w:ind w:start="360"/>
        <w:spacing w:before="300" w:after="300"/>
      </w:pPr>
      <w:r>
        <w:rPr>
          <w:b/>
        </w:rPr>
        <w:t xml:space="preserve">RIVER CORRIDOR COMMISSIONS</w:t>
      </w:r>
    </w:p>
    <w:p>
      <w:pPr>
        <w:jc w:val="both"/>
        <w:spacing w:before="100" w:after="100"/>
        <w:ind w:start="1080" w:hanging="720"/>
      </w:pPr>
      <w:r>
        <w:rPr>
          <w:b/>
        </w:rPr>
        <w:t>§</w:t>
        <w:t>4461</w:t>
        <w:t xml:space="preserve">.  </w:t>
      </w:r>
      <w:r>
        <w:rPr>
          <w:b/>
        </w:rPr>
        <w:t xml:space="preserve">River corridor commissions encouraged</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The effectiveness of local governments in implementing their responsibilities under shoreland zoning can be enhanced by coordination and cooperation among municipalities;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River corridor commissions have proven their effectiveness as one mechanism to bring about such coordination and cooperation;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Additional river corridor commissions are not likely to be formed without state encouragement and incentives;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Such cooperation serves state interests as stated in </w:t>
      </w:r>
      <w:r>
        <w:t>Title 12, section 402</w:t>
      </w:r>
      <w:r>
        <w:t xml:space="preserve"> and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policy of the State to encourage the formation of river corridor commissions.  The purpose of this law is to:</w:t>
      </w:r>
    </w:p>
    <w:p>
      <w:pPr>
        <w:jc w:val="both"/>
        <w:spacing w:before="100" w:after="0"/>
        <w:ind w:start="720"/>
      </w:pPr>
      <w:r>
        <w:rPr/>
        <w:t>A</w:t>
        <w:t xml:space="preserve">.  </w:t>
      </w:r>
      <w:r>
        <w:rPr/>
      </w:r>
      <w:r>
        <w:t xml:space="preserve">Clarify the procedures for forming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Delegate authority to the Commissioner of Agriculture, Conservation and Forestry to approve acceptable proposals to form the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2011, c. 657, Pt. W, §6 (REV).]</w:t>
      </w:r>
    </w:p>
    <w:p>
      <w:pPr>
        <w:jc w:val="both"/>
        <w:spacing w:before="100" w:after="0"/>
        <w:ind w:start="720"/>
      </w:pPr>
      <w:r>
        <w:rPr/>
        <w:t>C</w:t>
        <w:t xml:space="preserve">.  </w:t>
      </w:r>
      <w:r>
        <w:rPr/>
      </w:r>
      <w:r>
        <w:t xml:space="preserve">Grant additional powers to those river corridor commissions beyond those provided for in </w:t>
      </w:r>
      <w:r>
        <w:t>chapter 115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Provide a portion of the funding for the operation of the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2011, c. 657, Pt. W, §6 (REV). </w:t>
      </w:r>
    </w:p>
    <w:p>
      <w:pPr>
        <w:jc w:val="both"/>
        <w:spacing w:before="100" w:after="100"/>
        <w:ind w:start="1080" w:hanging="720"/>
      </w:pPr>
      <w:r>
        <w:rPr>
          <w:b/>
        </w:rPr>
        <w:t>§</w:t>
        <w:t>4462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a river corridor commission granted approval by the commissioner under </w:t>
      </w:r>
      <w:r>
        <w:t>section 4463</w:t>
      </w:r>
      <w:r>
        <w:t xml:space="preserve"> and authorized by </w:t>
      </w:r>
      <w:r>
        <w:t>Title 5, chapter 379</w:t>
      </w:r>
      <w:r>
        <w:t xml:space="preserve">, or as established under </w:t>
      </w:r>
      <w:r>
        <w:t>Title 38, 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§6 (REV).]</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2011, c. 657, Pt. W, §§5, 6 (REV). </w:t>
      </w:r>
    </w:p>
    <w:p>
      <w:pPr>
        <w:jc w:val="both"/>
        <w:spacing w:before="100" w:after="100"/>
        <w:ind w:start="1080" w:hanging="720"/>
      </w:pPr>
      <w:r>
        <w:rPr>
          <w:b/>
        </w:rPr>
        <w:t>§</w:t>
        <w:t>4463</w:t>
        <w:t xml:space="preserve">.  </w:t>
      </w:r>
      <w:r>
        <w:rPr>
          <w:b/>
        </w:rPr>
        <w:t xml:space="preserve">Approval of river corridor commissions</w:t>
      </w:r>
    </w:p>
    <w:p>
      <w:pPr>
        <w:jc w:val="both"/>
        <w:spacing w:before="100" w:after="100"/>
        <w:ind w:start="360"/>
        <w:ind w:firstLine="360"/>
      </w:pPr>
      <w:r>
        <w:rPr/>
      </w:r>
      <w:r>
        <w:rPr/>
      </w:r>
      <w:r>
        <w:t xml:space="preserve">The commissioner may grant commission status and all the privileges and powers enjoyed by the commissions, as specified in this chapter, when the commissioner finds that: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Occupation of shoreland by 2 or more municipalities.</w:t>
        <w:t xml:space="preserve"> </w:t>
      </w:r>
      <w:r>
        <w:t xml:space="preserve"> </w:t>
      </w:r>
      <w:r>
        <w:t xml:space="preserve">Two or more municipalities, which collectively occupy enough of the shoreland on a river segment to be effective in managing the shorelands of the river, have entered into an agreement under </w:t>
      </w:r>
      <w:r>
        <w:t>chapter 115</w:t>
      </w:r>
      <w:r>
        <w:t xml:space="preserve">, which satisfies the requirements of </w:t>
      </w:r>
      <w:r>
        <w:t>section 4464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Comprehensive plan.</w:t>
        <w:t xml:space="preserve"> </w:t>
      </w:r>
      <w:r>
        <w:t xml:space="preserve"> </w:t>
      </w:r>
      <w:r>
        <w:t xml:space="preserve">The same municipalities have prepared a comprehensive plan which satisfies the requirements of </w:t>
      </w:r>
      <w:r>
        <w:t>section 4465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Ordinance.</w:t>
        <w:t xml:space="preserve"> </w:t>
      </w:r>
      <w:r>
        <w:t xml:space="preserve"> </w:t>
      </w:r>
      <w:r>
        <w:t xml:space="preserve">The same municipalities have prepared an ordinance to implement the comprehensive plan which satisfies the requirements of </w:t>
      </w:r>
      <w:r>
        <w:t>section 4466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Other commissions.</w:t>
        <w:t xml:space="preserve"> </w:t>
      </w:r>
      <w:r>
        <w:t xml:space="preserve"> </w:t>
      </w:r>
      <w:r>
        <w:t xml:space="preserve">No other commission exists on the same river, or the distance between the proposed and existing commissions makes the formation of one larger commission impractical.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4464</w:t>
        <w:t xml:space="preserve">.  </w:t>
      </w:r>
      <w:r>
        <w:rPr>
          <w:b/>
        </w:rPr>
        <w:t xml:space="preserve">Interlocal agreement</w:t>
      </w:r>
    </w:p>
    <w:p>
      <w:pPr>
        <w:jc w:val="both"/>
        <w:spacing w:before="100" w:after="100"/>
        <w:ind w:start="360"/>
        <w:ind w:firstLine="360"/>
      </w:pPr>
      <w:r>
        <w:rPr/>
      </w:r>
      <w:r>
        <w:rPr/>
      </w:r>
      <w:r>
        <w:t xml:space="preserve">In addition to the requirements of </w:t>
      </w:r>
      <w:r>
        <w:t>section 2203</w:t>
      </w:r>
      <w:r>
        <w:t xml:space="preserve">, the interlocal agreement must be consistent with rules adopted by the commissioner under the Maine Administrative Procedure Act, </w:t>
      </w:r>
      <w:r>
        <w:t>Title 5, chapter 375</w:t>
      </w:r>
      <w:r>
        <w:t xml:space="preserv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Minimum duration.</w:t>
        <w:t xml:space="preserve"> </w:t>
      </w:r>
      <w:r>
        <w:t xml:space="preserve"> </w:t>
      </w:r>
      <w:r>
        <w:t xml:space="preserve">The minimum duration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Members; appointment.</w:t>
        <w:t xml:space="preserve"> </w:t>
      </w:r>
      <w:r>
        <w:t xml:space="preserve"> </w:t>
      </w:r>
      <w:r>
        <w:t xml:space="preserve">How members may be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Municipal responsibilities for financing.</w:t>
        <w:t xml:space="preserve"> </w:t>
      </w:r>
      <w:r>
        <w:t xml:space="preserve"> </w:t>
      </w:r>
      <w:r>
        <w:t xml:space="preserve">What the municipalities' responsibilities for financing the commission 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Withdrawal.</w:t>
        <w:t xml:space="preserve"> </w:t>
      </w:r>
      <w:r>
        <w:t xml:space="preserve"> </w:t>
      </w:r>
      <w:r>
        <w:t xml:space="preserve">How and under what circumstances municipalities may withdraw from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4465</w:t>
        <w:t xml:space="preserve">.  </w:t>
      </w:r>
      <w:r>
        <w:rPr>
          <w:b/>
        </w:rPr>
        <w:t xml:space="preserve">Comprehensive plan</w:t>
      </w:r>
    </w:p>
    <w:p>
      <w:pPr>
        <w:jc w:val="both"/>
        <w:spacing w:before="100" w:after="100"/>
        <w:ind w:start="360"/>
        <w:ind w:firstLine="360"/>
      </w:pPr>
      <w:r>
        <w:rPr/>
      </w:r>
      <w:r>
        <w:rPr/>
      </w:r>
      <w:r>
        <w:t xml:space="preserve">The comprehensive plan must be consistent with rules adopted by the commissioner under the Maine Administrative Procedure Act, </w:t>
      </w:r>
      <w:r>
        <w:t>Title 5, chapter 375</w:t>
      </w:r>
      <w:r>
        <w:t xml:space="preserv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Resources; problems.</w:t>
        <w:t xml:space="preserve"> </w:t>
      </w:r>
      <w:r>
        <w:t xml:space="preserve"> </w:t>
      </w:r>
      <w:r>
        <w:t xml:space="preserve">What resources or problems the plan must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Information; analyses.</w:t>
        <w:t xml:space="preserve"> </w:t>
      </w:r>
      <w:r>
        <w:t xml:space="preserve"> </w:t>
      </w:r>
      <w:r>
        <w:t xml:space="preserve">Information and analyses the plan must contain;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Specificity; clarity.</w:t>
        <w:t xml:space="preserve"> </w:t>
      </w:r>
      <w:r>
        <w:t xml:space="preserve"> </w:t>
      </w:r>
      <w:r>
        <w:t xml:space="preserve">The degree of specificity and clarity sought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4466</w:t>
        <w:t xml:space="preserve">.  </w:t>
      </w:r>
      <w:r>
        <w:rPr>
          <w:b/>
        </w:rPr>
        <w:t xml:space="preserve">Ordinance</w:t>
      </w:r>
    </w:p>
    <w:p>
      <w:pPr>
        <w:jc w:val="both"/>
        <w:spacing w:before="100" w:after="100"/>
        <w:ind w:start="360"/>
        <w:ind w:firstLine="360"/>
      </w:pPr>
      <w:r>
        <w:rPr/>
      </w:r>
      <w:r>
        <w:rPr/>
      </w:r>
      <w:r>
        <w:t xml:space="preserve">The ordinance to implement the plan must be at least as restrictive as the State's guidelines for municipal shoreland zoning ordinances and shall supersede existing shoreland zoning ordinances.  The ordinance must contain adequate procedures for processing permit requests and for considering appeals of a decision made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4467</w:t>
        <w:t xml:space="preserve">.  </w:t>
      </w:r>
      <w:r>
        <w:rPr>
          <w:b/>
        </w:rPr>
        <w:t xml:space="preserve">Powers of a river corridor commission</w:t>
      </w:r>
    </w:p>
    <w:p>
      <w:pPr>
        <w:jc w:val="both"/>
        <w:spacing w:before="100" w:after="100"/>
        <w:ind w:start="360"/>
        <w:ind w:firstLine="360"/>
      </w:pPr>
      <w:r>
        <w:rPr/>
      </w:r>
      <w:r>
        <w:rPr/>
      </w:r>
      <w:r>
        <w:t xml:space="preserve">Notwithstanding </w:t>
      </w:r>
      <w:r>
        <w:t>section 2203, subsection 8</w:t>
      </w:r>
      <w:r>
        <w:t xml:space="preserve">, an approved commission may:</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Amendment to comprehensive plan.</w:t>
        <w:t xml:space="preserve"> </w:t>
      </w:r>
      <w:r>
        <w:t xml:space="preserve"> </w:t>
      </w:r>
      <w:r>
        <w:t xml:space="preserve">Amend the comprehensive plan, after notice and hearing on the proposed amendment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Adoption of rules or ordinances.</w:t>
        <w:t xml:space="preserve"> </w:t>
      </w:r>
      <w:r>
        <w:t xml:space="preserve"> </w:t>
      </w:r>
      <w:r>
        <w:t xml:space="preserve">Adopt and amend rules or ordinances covering an area up to 500 feet from the normal high-water mark necessary to implement the comprehensive plan, after notice and hearing on the proposed amendment or adoption,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Issuance of permits.</w:t>
        <w:t xml:space="preserve"> </w:t>
      </w:r>
      <w:r>
        <w:t xml:space="preserve"> </w:t>
      </w:r>
      <w:r>
        <w:t xml:space="preserve">Issue permits, subject to reasonable conditions for activities requiring permits, or may deny permits under ordinances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Fees.</w:t>
        <w:t xml:space="preserve"> </w:t>
      </w:r>
      <w:r>
        <w:t xml:space="preserve"> </w:t>
      </w:r>
      <w:r>
        <w:t xml:space="preserve">Assess fees for permit or variance applications, or for any publications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5</w:t>
        <w:t xml:space="preserve">.  </w:t>
      </w:r>
      <w:r>
        <w:rPr>
          <w:b/>
        </w:rPr>
        <w:t xml:space="preserve">Suit.</w:t>
        <w:t xml:space="preserve"> </w:t>
      </w:r>
      <w:r>
        <w:t xml:space="preserve"> </w:t>
      </w:r>
      <w:r>
        <w:t xml:space="preserve">Sue and be sued;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w:t>
        <w:t xml:space="preserve">.  </w:t>
      </w:r>
      <w:r>
        <w:rPr>
          <w:b/>
        </w:rPr>
        <w:t xml:space="preserve">Enforcement.</w:t>
        <w:t xml:space="preserve"> </w:t>
      </w:r>
      <w:r>
        <w:t xml:space="preserve"> </w:t>
      </w:r>
      <w:r>
        <w:t xml:space="preserve">Enforce the rules or ordinances of the commission by instituting any lawful action, injunction or other proceeding to prevent, restrain, correct or abate any violation of its rules or ordinances, and may impose fines as permitted under </w:t>
      </w:r>
      <w:r>
        <w:t>Title 38, chapter 3, subchapter I, article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4468</w:t>
        <w:t xml:space="preserve">.  </w:t>
      </w:r>
      <w:r>
        <w:rPr>
          <w:b/>
        </w:rPr>
        <w:t xml:space="preserve">Commission budget; financing; staff</w:t>
      </w:r>
    </w:p>
    <w:p>
      <w:pPr>
        <w:jc w:val="both"/>
        <w:spacing w:before="100" w:after="100"/>
        <w:ind w:start="360"/>
        <w:ind w:firstLine="360"/>
      </w:pPr>
      <w:r>
        <w:rPr/>
      </w:r>
      <w:r>
        <w:rPr/>
      </w:r>
      <w:r>
        <w:t xml:space="preserve">The commission shall prepare and submit to the commissioner a biennial budget sufficient to cover its operating and other expenses.  Provided the commission continues to satisfy the requirements of </w:t>
      </w:r>
      <w:r>
        <w:t>section 4463</w:t>
      </w:r>
      <w:r>
        <w:t xml:space="preserve">, the commissioner shall request funds to match the funds raised by the commission.  In no event may the state contribution exceed $25,000 for any one commission in any year.  The commission may accept contributions of any type from any source to assist it in carrying out its assigned tasks, and make any agreements with respect to the administration of those funds, not inconsistent with the purpose of this law, that are required as conditions precedent to receiving the funds, federal or otherwise.  Staff of the commission are not considered employees of the State.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4469</w:t>
        <w:t xml:space="preserve">.  </w:t>
      </w:r>
      <w:r>
        <w:rPr>
          <w:b/>
        </w:rPr>
        <w:t xml:space="preserve">Appeals to Superior Court</w:t>
      </w:r>
    </w:p>
    <w:p>
      <w:pPr>
        <w:jc w:val="both"/>
        <w:spacing w:before="100" w:after="100"/>
        <w:ind w:start="360"/>
        <w:ind w:firstLine="360"/>
      </w:pPr>
      <w:r>
        <w:rPr/>
      </w:r>
      <w:r>
        <w:rPr/>
      </w:r>
      <w:r>
        <w:t xml:space="preserve">Except where otherwise specified by law, any party or person aggrieved by any order or decision of the commission may, within 30 days after notice of the filing of that order or decision, appeal to the Superior Court by filing a notice of appeal stating the grounds for appeal.  The appeal shall be taken under </w:t>
      </w:r>
      <w:r>
        <w:t>Title 5, section 11001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189. RIVER CORRIDOR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189. RIVER CORRIDOR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189. RIVER CORRIDOR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