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3953</w:t>
        <w:t xml:space="preserve">.  </w:t>
      </w:r>
      <w:r>
        <w:rPr>
          <w:b/>
        </w:rPr>
        <w:t xml:space="preserve">Stealing, injuring or killing dogs</w:t>
      </w:r>
    </w:p>
    <w:p>
      <w:pPr>
        <w:jc w:val="both"/>
        <w:spacing w:before="100" w:after="100"/>
        <w:ind w:start="360"/>
        <w:ind w:firstLine="360"/>
      </w:pPr>
      <w:r>
        <w:rPr/>
      </w:r>
      <w:r>
        <w:rPr/>
      </w:r>
      <w:r>
        <w:t xml:space="preserve">Except as provided in </w:t>
      </w:r>
      <w:r>
        <w:t>section 3951</w:t>
      </w:r>
      <w:r>
        <w:t xml:space="preserve"> and </w:t>
      </w:r>
      <w:r>
        <w:t>Title 12, section 12404</w:t>
      </w:r>
      <w:r>
        <w:t xml:space="preserve">, and unless the killing is justified to protect persons or property, a person who steals, confines or secretes, willfully or negligently injures or willfully or negligently kills a dog is liable in damages to the dog's owner in a civil action.</w:t>
      </w:r>
      <w:r>
        <w:t xml:space="preserve">  </w:t>
      </w:r>
      <w:r xmlns:wp="http://schemas.openxmlformats.org/drawingml/2010/wordprocessingDrawing" xmlns:w15="http://schemas.microsoft.com/office/word/2012/wordml">
        <w:rPr>
          <w:rFonts w:ascii="Arial" w:hAnsi="Arial" w:cs="Arial"/>
          <w:sz w:val="22"/>
          <w:szCs w:val="22"/>
        </w:rPr>
        <w:t xml:space="preserve">[PL 2003, c. 414, Pt. B, §13 (AMD);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1997, c. 690, §37 (AMD). PL 2003, c. 414, §B13 (AMD).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§3953. Stealing, injuring or killing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§3953. Stealing, injuring or killing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§3953. STEALING, INJURING OR KILLING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