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Prohibitions</w:t>
      </w:r>
    </w:p>
    <w:p>
      <w:pPr>
        <w:jc w:val="both"/>
        <w:spacing w:before="100" w:after="0"/>
        <w:ind w:start="360"/>
        <w:ind w:firstLine="360"/>
      </w:pPr>
      <w:r>
        <w:rPr>
          <w:b/>
        </w:rPr>
        <w:t>1</w:t>
        <w:t xml:space="preserve">.  </w:t>
      </w:r>
      <w:r>
        <w:rPr>
          <w:b/>
        </w:rPr>
        <w:t xml:space="preserve">Prohibited practices.</w:t>
        <w:t xml:space="preserve"> </w:t>
      </w:r>
      <w:r>
        <w:t xml:space="preserve"> </w:t>
      </w:r>
      <w:r>
        <w:t xml:space="preserve">To the extent provided for therein, financial institution holding companies subject to the laws of this State shall be subject to </w:t>
      </w:r>
      <w:r>
        <w:t>chapters 24</w:t>
      </w:r>
      <w:r>
        <w:t xml:space="preserve"> and </w:t>
      </w:r>
      <w:r>
        <w:t>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Penalties.</w:t>
        <w:t xml:space="preserve"> </w:t>
      </w:r>
      <w:r>
        <w:t xml:space="preserve"> </w:t>
      </w:r>
      <w:r>
        <w:t xml:space="preserve">Any person or company violating any provision of this chapter, or any regulation promulgated thereunder, is subject to a penalty of not more than $1,000 per day for each day the violation continues, to be recovered in a civil action in the name of the State.</w:t>
      </w:r>
    </w:p>
    <w:p>
      <w:pPr>
        <w:jc w:val="both"/>
        <w:spacing w:before="100" w:after="0"/>
        <w:ind w:start="360"/>
      </w:pPr>
      <w:r>
        <w:rPr/>
      </w:r>
      <w:r>
        <w:rPr/>
      </w:r>
      <w:r>
        <w:t xml:space="preserve">Any company or Maine financial institution violating </w:t>
      </w:r>
      <w:r>
        <w:t>section 1013, subsection 3</w:t>
      </w:r>
      <w:r>
        <w:t xml:space="preserve">, or any regulation promulgated under that section, is subject to a penalty of not more than $1,000 a day for each day the violation continues.  The superintendent shall report the violation forthwith, with such remarks as the superintendent determines appropriate, to the Attorney General, who may forthwith institute a civil action therefor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§14 (AMD).]</w:t>
      </w:r>
    </w:p>
    <w:p>
      <w:pPr>
        <w:jc w:val="both"/>
        <w:spacing w:before="100" w:after="0"/>
        <w:ind w:start="360"/>
        <w:ind w:firstLine="360"/>
      </w:pPr>
      <w:r>
        <w:rPr>
          <w:b/>
        </w:rPr>
        <w:t>3</w:t>
        <w:t xml:space="preserve">.  </w:t>
      </w:r>
      <w:r>
        <w:rPr>
          <w:b/>
        </w:rPr>
        <w:t xml:space="preserve">Remedy for violation of section 1013.</w:t>
        <w:t xml:space="preserve"> </w:t>
      </w:r>
      <w:r>
        <w:t xml:space="preserve"> </w:t>
      </w:r>
      <w:r>
        <w:t xml:space="preserve">A Maine financial institution or any financial institution holding company which violates </w:t>
      </w:r>
      <w:r>
        <w:t>section 1013</w:t>
      </w:r>
      <w:r>
        <w:t xml:space="preserve"> shall be subject to the provisions of </w:t>
      </w:r>
      <w:r>
        <w:t>chapters 23</w:t>
      </w:r>
      <w:r>
        <w:t xml:space="preserve"> and </w:t>
      </w:r>
      <w:r>
        <w:t>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302, §§6,7 (AMD). PL 1985, c. 642, §9 (AMD). PL 1997, c. 182, §A14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§1019.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§1019.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