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House Order, Regarding the Adjournment of the House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97627E">
      <w:pPr>
        <w:keepNext/>
        <w:ind w:left="360" w:firstLine="360"/>
        <w:rPr>
          <w:rFonts w:ascii="Arial" w:eastAsia="Arial" w:hAnsi="Arial" w:cs="Arial"/>
        </w:rPr>
      </w:pPr>
      <w:bookmarkStart w:id="0" w:name="_ORD_PAR__1ab6db84_5c50_4266_93e7_bb234c"/>
      <w:bookmarkStart w:id="1" w:name="_DOC_BODY_CONTENT__cafd0546_9634_41d0_85"/>
      <w:bookmarkStart w:id="2" w:name="_DOC_BODY__880fc80b_dbba_4293_b520_0df21"/>
      <w:bookmarkStart w:id="3" w:name="_DOC_BODY_CONTAINER__4c70bf77_785b_4ccd_"/>
      <w:bookmarkStart w:id="4" w:name="_PAGE__1_6e965720_4d67_4c26_89eb_397ee15"/>
      <w:bookmarkStart w:id="5" w:name="_PAR__1_2cf9fd0f_9de3_4771_9a4a_3d858bb3"/>
      <w:bookmarkStart w:id="6" w:name="_LINE__1_91a76a0e_181b_44bd_9161_ab30184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B817DC">
        <w:rPr>
          <w:rFonts w:ascii="Arial" w:eastAsia="Arial" w:hAnsi="Arial" w:cs="Arial"/>
        </w:rPr>
        <w:t xml:space="preserve">that each adjournment of the House be until 10 o'clock of the following </w:t>
      </w:r>
      <w:bookmarkStart w:id="7" w:name="_LINE__2_6c528d90_1d74_444b_86c8_6b59543"/>
      <w:bookmarkEnd w:id="6"/>
      <w:r w:rsidRPr="00B817DC">
        <w:rPr>
          <w:rFonts w:ascii="Arial" w:eastAsia="Arial" w:hAnsi="Arial" w:cs="Arial"/>
        </w:rPr>
        <w:t>morning unless otherwise ordered.</w:t>
      </w:r>
      <w:bookmarkEnd w:id="7"/>
      <w:bookmarkEnd w:id="0"/>
      <w:bookmarkEnd w:id="1"/>
      <w:bookmarkEnd w:id="2"/>
      <w:bookmarkEnd w:id="3"/>
      <w:bookmarkEnd w:id="4"/>
      <w:bookmarkEnd w:id="5"/>
    </w:p>
    <w:bookmarkStart w:id="8" w:name="_SPONSOR_BLOCK__af162986_91f6_403e_a942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TERRY,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Gorham</w:t>
      </w:r>
    </w:p>
    <w:bookmarkEnd w:id="8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House Order, Regarding the Adjournment of the House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627E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17D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