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Title 5, sections 43 to 46. The Chief Procurement Officer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 (AMD).]</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Title 5, sections 43 to 46, the Chief Procurement Officer shall deliver at least 4 copies of that annual or biennial report to the State Librarian for exchange and library use.  The Chief Procurement Officer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Chief Procurement Officer, central printing service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PL 2023, c. 516,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§501-A. Publications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Publications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§501-A. PUBLICATIONS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