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w:t>
        <w:t xml:space="preserve">.  </w:t>
      </w:r>
      <w:r>
        <w:rPr>
          <w:b/>
        </w:rPr>
        <w:t xml:space="preserve">Purpose</w:t>
      </w:r>
    </w:p>
    <w:p>
      <w:pPr>
        <w:jc w:val="both"/>
        <w:spacing w:before="100" w:after="100"/>
        <w:ind w:start="360"/>
        <w:ind w:firstLine="360"/>
      </w:pPr>
      <w:r>
        <w:rPr/>
      </w:r>
      <w:r>
        <w:rPr/>
      </w:r>
      <w:r>
        <w:t xml:space="preserve">The purpose of this chapter is to establish a policy for the treatment of persons displaced as a result of public use programs, funded in whole or in part by public entities, for persons to whom no assistance is available under federal law or any other provisions of state law.</w:t>
      </w:r>
      <w:r>
        <w:t xml:space="preserve">  </w:t>
      </w:r>
      <w:r xmlns:wp="http://schemas.openxmlformats.org/drawingml/2010/wordprocessingDrawing" xmlns:w15="http://schemas.microsoft.com/office/word/2012/wordml">
        <w:rPr>
          <w:rFonts w:ascii="Arial" w:hAnsi="Arial" w:cs="Arial"/>
          <w:sz w:val="22"/>
          <w:szCs w:val="22"/>
        </w:rPr>
        <w:t xml:space="preserve">[PL 1981, c. 494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§951.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