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202-E</w:t>
      </w:r>
    </w:p>
    <w:p>
      <w:pPr>
        <w:jc w:val="center"/>
        <w:ind w:start="360"/>
        <w:spacing w:before="300" w:after="300"/>
      </w:pPr>
      <w:r>
        <w:rPr>
          <w:b/>
        </w:rPr>
        <w:t xml:space="preserve">TRUTH IN MUSIC ADVERTISING</w:t>
      </w:r>
    </w:p>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202-E. TRUTH IN MUSIC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