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239</w:t>
      </w:r>
    </w:p>
    <w:p>
      <w:pPr>
        <w:jc w:val="center"/>
        <w:ind w:start="360"/>
        <w:spacing w:before="300" w:after="300"/>
      </w:pPr>
      <w:r>
        <w:rPr>
          <w:b/>
        </w:rPr>
        <w:t xml:space="preserve">COMMUNICATIONS WITH CONSUMERS VIA ARTIFICIAL INTELLIGENCE</w:t>
      </w:r>
    </w:p>
    <w:p>
      <w:pPr>
        <w:jc w:val="center"/>
        <w:ind w:start="360"/>
        <w:spacing w:before="300" w:after="300"/>
      </w:pPr>
      <w:r>
        <w:rPr>
          <w:b/>
        </w:rPr>
        <w:t>(REALLOCATED TO TITLE 10, CHAPTER 241)</w:t>
      </w:r>
    </w:p>
    <w:p>
      <w:pPr>
        <w:jc w:val="both"/>
        <w:spacing w:before="100" w:after="100"/>
        <w:ind w:start="1080" w:hanging="720"/>
      </w:pPr>
      <w:r>
        <w:rPr>
          <w:b/>
        </w:rPr>
        <w:t>§</w:t>
        <w:t>1500-Y</w:t>
        <w:t xml:space="preserve">.  </w:t>
      </w:r>
      <w:r>
        <w:rPr>
          <w:b/>
        </w:rPr>
        <w:t xml:space="preserve">Required disclosure of use of artificial intelligence chatbot to engage in trade and commerce</w:t>
      </w:r>
    </w:p>
    <w:p>
      <w:pPr>
        <w:jc w:val="both"/>
        <w:spacing w:before="100" w:after="100"/>
        <w:ind w:start="360"/>
      </w:pPr>
      <w:r>
        <w:rPr>
          <w:b/>
        </w:rPr>
        <w:t>(REALLOCATED TO TITLE 10, SECTION 1500-DD)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239. COMMUNICATIONS WITH CONSUMERS VIA ARTIFICIAL INTELLIGENCE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239. COMMUNICATIONS WITH CONSUMERS VIA ARTIFICIAL INTELLIGENCE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239. COMMUNICATIONS WITH CONSUMERS VIA ARTIFICIAL INTELLIGENCE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