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§1100-AA. Foreign Credentialing and Skills Recognition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§1100-AA. Foreign Credentialing and Skills Recognition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§1100-AA. FOREIGN CREDENTIALING AND SKILLS RECOGNITION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