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Scope</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chapter applies to any agreement signed in connection with a consumer loan or consumer lease entered into in this State between a consumer who is a resident of this State at the time of the loan or lease and a supervised lender or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w:pPr>
        <w:jc w:val="both"/>
        <w:spacing w:before="100" w:after="100"/>
        <w:ind w:start="360"/>
        <w:ind w:firstLine="360"/>
      </w:pPr>
      <w:r>
        <w:rPr>
          <w:b/>
        </w:rPr>
        <w:t>2</w:t>
        <w:t xml:space="preserve">.  </w:t>
      </w:r>
      <w:r>
        <w:rPr>
          <w:b/>
        </w:rPr>
        <w:t xml:space="preserve">Exclusions.</w:t>
        <w:t xml:space="preserve"> </w:t>
      </w:r>
      <w:r>
        <w:t xml:space="preserve"> </w:t>
      </w:r>
      <w:r>
        <w:t xml:space="preserve">This chapter does not apply:</w:t>
      </w:r>
    </w:p>
    <w:p>
      <w:pPr>
        <w:jc w:val="both"/>
        <w:spacing w:before="100" w:after="0"/>
        <w:ind w:start="720"/>
      </w:pPr>
      <w:r>
        <w:rPr/>
        <w:t>A</w:t>
        <w:t xml:space="preserve">.  </w:t>
      </w:r>
      <w:r>
        <w:rPr/>
      </w:r>
      <w:r>
        <w:t xml:space="preserve">To consumer loans or consumer leases in which the amount financed or in the case of consumer leases, the capitalized cost of the leased property, exceeds $100,000; and</w:t>
      </w:r>
      <w:r>
        <w:t xml:space="preserve">  </w:t>
      </w:r>
      <w:r xmlns:wp="http://schemas.openxmlformats.org/drawingml/2010/wordprocessingDrawing" xmlns:w15="http://schemas.microsoft.com/office/word/2012/wordml">
        <w:rPr>
          <w:rFonts w:ascii="Arial" w:hAnsi="Arial" w:cs="Arial"/>
          <w:sz w:val="22"/>
          <w:szCs w:val="22"/>
        </w:rPr>
        <w:t xml:space="preserve">[PL 1985, c. 763, Pt. A, §70 (AMD).]</w:t>
      </w:r>
    </w:p>
    <w:p>
      <w:pPr>
        <w:jc w:val="both"/>
        <w:spacing w:before="100" w:after="0"/>
        <w:ind w:start="720"/>
      </w:pPr>
      <w:r>
        <w:rPr/>
        <w:t>B</w:t>
        <w:t xml:space="preserve">.  </w:t>
      </w:r>
      <w:r>
        <w:rPr/>
      </w:r>
      <w:r>
        <w:t xml:space="preserve">To language or arrangement which is specifically required by federal or state law, regulation or official agency interpretation; or to agreements, the form or any part of which is required by any governmental instrumentality as a condition of the assignability of the agreement.</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