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Enforcement</w:t>
      </w:r>
    </w:p>
    <w:p>
      <w:pPr>
        <w:jc w:val="both"/>
        <w:spacing w:before="100" w:after="100"/>
        <w:ind w:start="360"/>
        <w:ind w:firstLine="360"/>
      </w:pPr>
      <w:r>
        <w:rPr/>
      </w:r>
      <w:r>
        <w:rPr/>
      </w:r>
      <w:r>
        <w:t xml:space="preserve">A supervised lender's or lessor's failure to comply with the requirements of </w:t>
      </w:r>
      <w:r>
        <w:t>section 1124</w:t>
      </w:r>
      <w:r>
        <w:t xml:space="preserve"> shall constitute a violation of </w:t>
      </w:r>
      <w:r>
        <w:t>Title 9‑A</w:t>
      </w:r>
      <w:r>
        <w:t xml:space="preserve"> which shall be enforceable under </w:t>
      </w:r>
      <w:r>
        <w:t>Title 9‑A, section 6‑108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