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w:t>
        <w:t xml:space="preserve">.  </w:t>
      </w:r>
      <w:r>
        <w:rPr>
          <w:b/>
        </w:rPr>
        <w:t xml:space="preserve">Informal dispute settlement</w:t>
      </w:r>
    </w:p>
    <w:p>
      <w:pPr>
        <w:jc w:val="both"/>
        <w:spacing w:before="100" w:after="100"/>
        <w:ind w:start="360"/>
        <w:ind w:firstLine="360"/>
      </w:pPr>
      <w:r>
        <w:rPr/>
      </w:r>
      <w:r>
        <w:rPr/>
      </w:r>
      <w:r>
        <w:t xml:space="preserve">If a manufacturer has established an informal dispute settlement procedure which complies in all respects with the provisions of 16 Code of Federal Regulations, Part 703, as from time to time amended, the provisions of </w:t>
      </w:r>
      <w:r>
        <w:t>section 1163, subsection 2</w:t>
      </w:r>
      <w:r>
        <w:t xml:space="preserve">, concerning refunds or replacement shall not apply to any consumer who has not first resorted to that procedure or to state-certified arbitration.  This requirement shall be satisfied 40 days after notification to the informal dispute settlement procedure of the dispute or when the procedure's duties under 16 Code of Federal Regulations, Part 703.5 (d), are completed,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1989, c. 570,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§5 (AMD). PL 1989, c. 570,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 Informal dispute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 Informal dispute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§1165. INFORMAL DISPUTE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