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1186</w:t>
        <w:t xml:space="preserve">.  </w:t>
      </w:r>
      <w:r>
        <w:rPr>
          <w:b/>
        </w:rPr>
        <w:t xml:space="preserve">Penalty</w:t>
      </w:r>
    </w:p>
    <w:p>
      <w:pPr>
        <w:jc w:val="both"/>
        <w:spacing w:before="100" w:after="100"/>
        <w:ind w:start="360"/>
        <w:ind w:firstLine="360"/>
      </w:pPr>
      <w:r>
        <w:rPr/>
      </w:r>
      <w:r>
        <w:rPr/>
      </w:r>
      <w:r>
        <w:t xml:space="preserve">Any person who violates any provision of this chapter other than </w:t>
      </w:r>
      <w:r>
        <w:t>section 1174‑D</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217,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1979, c. 127, §58 (AMD). PL 2017, c. 217,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§1186.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§1186.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§1186.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