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Bill in equity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 person damaged or who is threatened with loss or injury by reason of a violation or threatened violation of this chapter may bring a civil action in the Superior Court in the county where the person resides to prevent, restrain or enjoin the violation or threatened violation. If in such an action a violation or threatened violation of this chapter is established, the court may enjoin and restrain or otherwise prohibit the violation or threatened violation. In such an action, it is not necessary that actual damages to the plaintiff be alleged or proved. In addition to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injunctive relief is not sought or required, a person injured by a violation of this chapter may maintain an action for damages alone in the Superior Court in the county where the person resides and the measure of damages in that action is the same as prescribed in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§19 (COR).]</w:t>
      </w:r>
    </w:p>
    <w:p>
      <w:pPr>
        <w:jc w:val="both"/>
        <w:spacing w:before="100" w:after="100"/>
        <w:ind w:start="360"/>
        <w:ind w:firstLine="360"/>
      </w:pPr>
      <w:r>
        <w:rPr>
          <w:b/>
        </w:rPr>
        <w:t>3</w:t>
        <w:t xml:space="preserve">.  </w:t>
      </w:r>
      <w:r>
        <w:rPr>
          <w:b/>
        </w:rPr>
        <w:t xml:space="preserve">Evidence of intent to injure.</w:t>
        <w:t xml:space="preserve"> </w:t>
      </w:r>
      <w:r>
        <w:t xml:space="preserve"> </w:t>
      </w:r>
      <w:r>
        <w:t xml:space="preserve">In all proceedings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§§18,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Bill in equity by injured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Bill in equity by injured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§1205. BILL IN EQUITY BY INJURED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