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1250-C</w:t>
        <w:t xml:space="preserve">.  </w:t>
      </w:r>
      <w:r>
        <w:rPr>
          <w:b/>
        </w:rPr>
        <w:t xml:space="preserve">Discounts and other inducements</w:t>
      </w:r>
    </w:p>
    <w:p>
      <w:pPr>
        <w:jc w:val="both"/>
        <w:spacing w:before="100" w:after="100"/>
        <w:ind w:start="360"/>
        <w:ind w:firstLine="360"/>
      </w:pPr>
      <w:r>
        <w:rPr/>
      </w:r>
      <w:r>
        <w:rPr/>
      </w:r>
      <w:r>
        <w:t xml:space="preserve">In connection with a sale of a personal sports mobile or mobiles to the State or to any political subdivision of the State, a manufacturer may not offer any discounts, refunds or any other similar type of inducement to any dealer without making the same offer or offers to all its dealers within the relevant market area.  If such inducements are made, the manufacturer, distributor or wholesaler shall give simultaneous notice of those inducements to all of its dealers within the relevant market area.</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§1250-C. Discounts and other inducements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§1250-C. Discounts and other inducements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§1250-C. DISCOUNTS AND OTHER INDUCEMENTS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