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Uniform commercial practice</w:t>
      </w:r>
    </w:p>
    <w:p>
      <w:pPr>
        <w:jc w:val="both"/>
        <w:spacing w:before="100" w:after="0"/>
        <w:ind w:start="360"/>
        <w:ind w:firstLine="360"/>
      </w:pPr>
      <w:r>
        <w:rPr>
          <w:b/>
        </w:rPr>
        <w:t>1</w:t>
        <w:t xml:space="preserve">.  </w:t>
      </w:r>
      <w:r>
        <w:rPr>
          <w:b/>
        </w:rPr>
        <w:t xml:space="preserve">Security interest.</w:t>
        <w:t xml:space="preserve"> </w:t>
      </w:r>
      <w:r>
        <w:t xml:space="preserve"> </w:t>
      </w:r>
      <w:r>
        <w:t xml:space="preserve">Nothing contained in this chapter may be construed to release or terminate a perfected security interest of the supplier in the inventory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 Uniform commercial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Uniform commercial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§1292. UNIFORM COMMERCIAL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