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A facility owner has a lien on property stored at that facility for rent, labor or other charges and for expenses reasonably incurred in the sale of that property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Exclusion.</w:t>
        <w:t xml:space="preserve"> </w:t>
      </w:r>
      <w:r>
        <w:t xml:space="preserve"> </w:t>
      </w:r>
      <w:r>
        <w:t xml:space="preserve">This chapter does not create a lien on a documented vessel subject to a preferred ship mortgage or other preferred maritime lien pursuant to 46 United States Code, Chapter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PL 2011, c. 691,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§1383.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§1383.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