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owner or tenant with an insulation contract, containing at least the minimum information required by </w:t>
      </w:r>
      <w:r>
        <w:t>section 1482</w:t>
      </w:r>
      <w:r>
        <w:t xml:space="preserve">, prior to this installation of insulation into an existing residence shall be deemed to have committed a civil violation for which a forfeiture of not less than $200 for the first offense and not less than $500 for each subsequent offense shall be adjudged. In addition to the civil penalty provided in this section, any violation of this chapter shall constitute a violation of the Unfair Trade Practices Act in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§1483. Civil forfeiture; Unfair Trade Practices Act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 Civil forfeiture; Unfair Trade Practices Act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§1483. CIVIL FORFEITURE; UNFAIR TRADE PRACTICES ACT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