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1500-Y</w:t>
        <w:t xml:space="preserve">.  </w:t>
      </w:r>
      <w:r>
        <w:rPr>
          <w:b/>
        </w:rPr>
        <w:t xml:space="preserve">Payment by cash</w:t>
      </w:r>
    </w:p>
    <w:p>
      <w:pPr>
        <w:jc w:val="both"/>
        <w:spacing w:before="100" w:after="100"/>
        <w:ind w:start="360"/>
      </w:pPr>
      <w:r>
        <w:rPr>
          <w:b/>
        </w:rPr>
        <w:t>(REALLOCATED TO TITLE 10, SECTION 1500-HH)</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209, §1 (NEW). RR 2025, c. 1, Pt. A, §18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§1500-Y. Payment by cash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§1500-Y. Payment by cash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§1500-Y. PAYMENT BY CASH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