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Trade name oils or fuels not to be mixed or adulterated</w:t>
      </w:r>
    </w:p>
    <w:p>
      <w:pPr>
        <w:jc w:val="both"/>
        <w:spacing w:before="100" w:after="100"/>
        <w:ind w:start="360"/>
        <w:ind w:firstLine="360"/>
      </w:pPr>
      <w:r>
        <w:rPr/>
      </w:r>
      <w:r>
        <w:rPr/>
      </w:r>
      <w:r>
        <w:t xml:space="preserve">It shall be unlawful for any person, firm or corporation to expose for sale, offer for sale or sell under any trademark or trade name in general use any internal combustion engine fuels, lubricating oils or other like products except those manufactured or distributed by the manufacturer or distributor marketing internal combustion engine fuels, lubricating oils or other like products under such trademark or trade name, or to substitute, mix or adulterate the internal combustion engine fuels, lubricating oils or other similar products sold, offered for sale or distributed under such trademark or trade name.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§1657. Trade name oils or fuels not to be mixed or adulterated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Trade name oils or fuels not to be mixed or adulterated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§1657. TRADE NAME OILS OR FUELS NOT TO BE MIXED OR ADULTERATED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