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Penalties</w:t>
      </w:r>
    </w:p>
    <w:p>
      <w:pPr>
        <w:jc w:val="both"/>
        <w:spacing w:before="100" w:after="100"/>
        <w:ind w:start="360"/>
        <w:ind w:firstLine="360"/>
      </w:pPr>
      <w:r>
        <w:rPr>
          <w:b/>
        </w:rPr>
        <w:t>1</w:t>
        <w:t xml:space="preserve">.  </w:t>
      </w:r>
      <w:r>
        <w:rPr>
          <w:b/>
        </w:rPr>
        <w:t xml:space="preserve">Violation of subchapter; first and subsequent offenses.</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person who violates a provision of this subchapter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a provision of this subchapter after having previously violated this subchapter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w:pPr>
        <w:jc w:val="both"/>
        <w:spacing w:before="100" w:after="100"/>
        <w:ind w:start="360"/>
        <w:ind w:firstLine="360"/>
      </w:pPr>
      <w:r>
        <w:rPr>
          <w:b/>
        </w:rPr>
        <w:t>2</w:t>
        <w:t xml:space="preserve">.  </w:t>
      </w:r>
      <w:r>
        <w:rPr>
          <w:b/>
        </w:rPr>
        <w:t xml:space="preserve">Conducting business without license; first and subsequent offenses.</w:t>
        <w:t xml:space="preserve"> </w:t>
      </w:r>
      <w:r>
        <w:t xml:space="preserve"> </w:t>
      </w:r>
      <w:r>
        <w:t xml:space="preserve">A person may not conduct a business of dealer or repairer without having a certificate in full force.</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§E8 (RPR). PL 2003, c. 452, §X2 (AFF). RR 2023, c. 2, Pt. C,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