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2751-A</w:t>
        <w:t xml:space="preserve">.  </w:t>
      </w:r>
      <w:r>
        <w:rPr>
          <w:b/>
        </w:rPr>
        <w:t xml:space="preserve">Administrative penalties</w:t>
      </w:r>
    </w:p>
    <w:p>
      <w:pPr>
        <w:jc w:val="both"/>
        <w:spacing w:before="100" w:after="100"/>
        <w:ind w:start="360"/>
        <w:ind w:firstLine="360"/>
      </w:pPr>
      <w:r>
        <w:rPr/>
      </w:r>
      <w:r>
        <w:rPr/>
      </w:r>
      <w:r>
        <w:t xml:space="preserve">Except for any violation of </w:t>
      </w:r>
      <w:r>
        <w:t>subchapter 2‑A</w:t>
      </w:r>
      <w:r>
        <w:t xml:space="preserve"> or a violation of </w:t>
      </w:r>
      <w:r>
        <w:t>subchapter 7‑A</w:t>
      </w:r>
      <w:r>
        <w:t xml:space="preserve"> relating to the sale of firewood, the Commissioner of Agriculture, Conservation and Forestry, referred to in this section as "the commissioner," may assess administrative penalties, not to exceed $5,000, for each violation of this chapter for which a specific penalty has not been prescribed.</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100"/>
        <w:ind w:start="360"/>
        <w:ind w:firstLine="360"/>
      </w:pPr>
      <w:r>
        <w:rPr>
          <w:b/>
        </w:rPr>
        <w:t>1</w:t>
        <w:t xml:space="preserve">.  </w:t>
      </w:r>
      <w:r>
        <w:rPr>
          <w:b/>
        </w:rPr>
        <w:t xml:space="preserve">Amount of penalty.</w:t>
        <w:t xml:space="preserve"> </w:t>
      </w:r>
      <w:r>
        <w:t xml:space="preserve"> </w:t>
      </w:r>
      <w:r>
        <w:t xml:space="preserve">In determining the amount of the penalty to be assessed against a person under this section, the commissioner may consider one or more of the following:</w:t>
      </w:r>
    </w:p>
    <w:p>
      <w:pPr>
        <w:jc w:val="both"/>
        <w:spacing w:before="100" w:after="0"/>
        <w:ind w:start="720"/>
      </w:pPr>
      <w:r>
        <w:rPr/>
        <w:t>A</w:t>
        <w:t xml:space="preserve">.  </w:t>
      </w:r>
      <w:r>
        <w:rPr/>
      </w:r>
      <w:r>
        <w:t xml:space="preserve">The degree of actual and potential impact on public health, safety and welfare resulting from the violation;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B</w:t>
        <w:t xml:space="preserve">.  </w:t>
      </w:r>
      <w:r>
        <w:rPr/>
      </w:r>
      <w:r>
        <w:t xml:space="preserve">The presence of mitigating or aggravating circumstances;</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C</w:t>
        <w:t xml:space="preserve">.  </w:t>
      </w:r>
      <w:r>
        <w:rPr/>
      </w:r>
      <w:r>
        <w:t xml:space="preserve">Whether the person has been warned regarding a violation or found to be in violation of the same provision of law in the past;</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D</w:t>
        <w:t xml:space="preserve">.  </w:t>
      </w:r>
      <w:r>
        <w:rPr/>
      </w:r>
      <w:r>
        <w:t xml:space="preserve">The economic benefit, if any, gained by the violation;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E</w:t>
        <w:t xml:space="preserve">.  </w:t>
      </w:r>
      <w:r>
        <w:rPr/>
      </w:r>
      <w:r>
        <w:t xml:space="preserve">The deterrent effect of the penalty; and</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w:pPr>
        <w:jc w:val="both"/>
        <w:spacing w:before="100" w:after="0"/>
        <w:ind w:start="720"/>
      </w:pPr>
      <w:r>
        <w:rPr/>
        <w:t>F</w:t>
        <w:t xml:space="preserve">.  </w:t>
      </w:r>
      <w:r>
        <w:rPr/>
      </w:r>
      <w:r>
        <w:t xml:space="preserve">The financial condition of the person.</w:t>
      </w:r>
      <w:r>
        <w:t xml:space="preserve">  </w:t>
      </w:r>
      <w:r xmlns:wp="http://schemas.openxmlformats.org/drawingml/2010/wordprocessingDrawing" xmlns:w15="http://schemas.microsoft.com/office/word/2012/wordml">
        <w:rPr>
          <w:rFonts w:ascii="Arial" w:hAnsi="Arial" w:cs="Arial"/>
          <w:sz w:val="22"/>
          <w:szCs w:val="22"/>
        </w:rPr>
        <w:t xml:space="preserve">[PL 2025, c. 193,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2</w:t>
        <w:t xml:space="preserve">.  </w:t>
      </w:r>
      <w:r>
        <w:rPr>
          <w:b/>
        </w:rPr>
        <w:t xml:space="preserve">Separate offenses; continuing violations; maximum total value of penalties.</w:t>
        <w:t xml:space="preserve"> </w:t>
      </w:r>
      <w:r>
        <w:t xml:space="preserve"> </w:t>
      </w:r>
      <w:r>
        <w:t xml:space="preserve">The commissioner may consider each violation a separate offense and, in the case of a continuing violation, the commissioner may consider each day's continuance a separate offense.  The total value of penalties assessed against a person under this section may not exceed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3</w:t>
        <w:t xml:space="preserve">.  </w:t>
      </w:r>
      <w:r>
        <w:rPr>
          <w:b/>
        </w:rPr>
        <w:t xml:space="preserve">Commissioner may recover costs of investigation.</w:t>
        <w:t xml:space="preserve"> </w:t>
      </w:r>
      <w:r>
        <w:t xml:space="preserve"> </w:t>
      </w:r>
      <w:r>
        <w:t xml:space="preserve">In addition to the administrative penalties authorized by this section, the commissioner may recover the costs of investigation, which must be credited to a special fund and be made available to the Department of Agriculture, Conservation and Forestry to offset these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4</w:t>
        <w:t xml:space="preserve">.  </w:t>
      </w:r>
      <w:r>
        <w:rPr>
          <w:b/>
        </w:rPr>
        <w:t xml:space="preserve">Enforcement of final administrative penalty.</w:t>
        <w:t xml:space="preserve"> </w:t>
      </w:r>
      <w:r>
        <w:t xml:space="preserve"> </w:t>
      </w:r>
      <w:r>
        <w:t xml:space="preserve">The commissioner may enforce a final administrative penalty by filing a civil action in any District Court or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w:pPr>
        <w:jc w:val="both"/>
        <w:spacing w:before="100" w:after="0"/>
        <w:ind w:start="360"/>
        <w:ind w:firstLine="360"/>
      </w:pPr>
      <w:r>
        <w:rPr>
          <w:b/>
        </w:rPr>
        <w:t>5</w:t>
        <w:t xml:space="preserve">.  </w:t>
      </w:r>
      <w:r>
        <w:rPr>
          <w:b/>
        </w:rPr>
        <w:t xml:space="preserve">Appeal.</w:t>
        <w:t xml:space="preserve"> </w:t>
      </w:r>
      <w:r>
        <w:t xml:space="preserve"> </w:t>
      </w:r>
      <w:r>
        <w:t xml:space="preserve">Any party aggrieved by a final decision of the commissioner may appeal de novo to the Superior Court within 30 days of the final decision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§2751-A. Administrative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§2751-A. Administrative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§2751-A. ADMINISTRATIVE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