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Sale after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Sale after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§3952. SALE AFTER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