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Sale on court order</w:t>
      </w:r>
    </w:p>
    <w:p>
      <w:pPr>
        <w:jc w:val="both"/>
        <w:spacing w:before="100" w:after="100"/>
        <w:ind w:start="360"/>
        <w:ind w:firstLine="360"/>
      </w:pPr>
      <w:r>
        <w:rPr/>
      </w:r>
      <w:r>
        <w:rPr/>
      </w:r>
      <w:r>
        <w:t xml:space="preserve">After trial and final adjudication in favor of the plaintiff, the court may order any competent officer to sell the article on which the lien is claimed, as personal property is sold on execution, and out of the proceeds, after deducting the officer's fees and the expenses of sale, to pay to the plaintiff the amount and costs awarded the plaintiff, and the balance to the person entitled to it, if that person is known to the court, otherwise into court.</w:t>
      </w:r>
      <w:r>
        <w:t xml:space="preserve">  </w:t>
      </w:r>
      <w:r xmlns:wp="http://schemas.openxmlformats.org/drawingml/2010/wordprocessingDrawing" xmlns:w15="http://schemas.microsoft.com/office/word/2012/wordml">
        <w:rPr>
          <w:rFonts w:ascii="Arial" w:hAnsi="Arial" w:cs="Arial"/>
          <w:sz w:val="22"/>
          <w:szCs w:val="22"/>
        </w:rPr>
        <w:t xml:space="preserve">[RR 2023, c. 2, Pt. C, §105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§4008. Sale on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Sale on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§4008. SALE ON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