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9063</w:t>
        <w:t xml:space="preserve">.  </w:t>
      </w:r>
      <w:r>
        <w:rPr>
          <w:b/>
        </w:rPr>
        <w:t xml:space="preserve">Rules</w:t>
      </w:r>
    </w:p>
    <w:p>
      <w:pPr>
        <w:jc w:val="both"/>
        <w:spacing w:before="100" w:after="100"/>
        <w:ind w:start="360"/>
        <w:ind w:firstLine="360"/>
      </w:pPr>
      <w:r>
        <w:rPr/>
      </w:r>
      <w:r>
        <w:rPr/>
      </w:r>
      <w:r>
        <w:t xml:space="preserve">The commissioner is authorized to issue, amend and revoke rules as necessary to implement all procedures required of a state administrative agency pursuant to 24 Code of Federal Regulations, Paragraph 3282 and 42 United States Code, Sections 5401 to 5426, including the implementation of a consumer complaint handling process and the holding of hearings. In the event of a conflict between this chapter and the National Manufactured Housing Construction and Safety Standards Act of 1974 involving the state administrative agency program, the National Manufactured Housing Construction and Safety Standards Act of 1974 prevails.</w:t>
      </w:r>
      <w:r>
        <w:t xml:space="preserve">  </w:t>
      </w:r>
      <w:r xmlns:wp="http://schemas.openxmlformats.org/drawingml/2010/wordprocessingDrawing" xmlns:w15="http://schemas.microsoft.com/office/word/2012/wordml">
        <w:rPr>
          <w:rFonts w:ascii="Arial" w:hAnsi="Arial" w:cs="Arial"/>
          <w:sz w:val="22"/>
          <w:szCs w:val="22"/>
        </w:rPr>
        <w:t xml:space="preserve">[PL 1995, c. 353,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§32 (AMD). PL 1995, c. 353,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