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9083</w:t>
        <w:t xml:space="preserve">.  </w:t>
      </w:r>
      <w:r>
        <w:rPr>
          <w:b/>
        </w:rPr>
        <w:t xml:space="preserve">Fees</w:t>
      </w:r>
    </w:p>
    <w:p>
      <w:pPr>
        <w:jc w:val="both"/>
        <w:spacing w:before="100" w:after="100"/>
        <w:ind w:start="360"/>
        <w:ind w:firstLine="360"/>
      </w:pPr>
      <w:r>
        <w:rPr/>
      </w:r>
      <w:r>
        <w:rPr/>
      </w:r>
      <w:r>
        <w:t xml:space="preserve">Application and license fees for manufactured housing communities are set under </w:t>
      </w:r>
      <w:r>
        <w:t>section 9021, subsection 2‑A</w:t>
      </w:r>
      <w:r>
        <w:t xml:space="preserve">, including applications for manufactured housing community expansion and license renewal.  Fees are also set under </w:t>
      </w:r>
      <w:r>
        <w:t>section 9021, subsection 2‑A</w:t>
      </w:r>
      <w:r>
        <w:t xml:space="preserve"> for manufactured housing community inspections; for the cost of reviewing engineering and site plans; for costs incurred in evaluating an applicant’s eligibility for licensure as a manufactured housing community; and for costs incurred in evaluating a licensee’s ongoing compliance with the requirements of this subchapter and the rules of the board.  Failure to pay costs billed to an applicant or licensee within 90 days of the billing date constitutes grounds for license revocation, unless an extension for an additional period not to exceed 90 days is granted in writing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389, §7 (RPR). PL 1985, c. 600, §2 (AMD). PL 1991, c. 714, §5 (AMD). PL 2007, c. 402, Pt. D, §13 (RPR). PL 2017, c. 210,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