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9086</w:t>
        <w:t xml:space="preserve">.  </w:t>
      </w:r>
      <w:r>
        <w:rPr>
          <w:b/>
        </w:rPr>
        <w:t xml:space="preserve">Right of entry and inspection</w:t>
      </w:r>
    </w:p>
    <w:p>
      <w:pPr>
        <w:jc w:val="both"/>
        <w:spacing w:before="100" w:after="100"/>
        <w:ind w:start="360"/>
        <w:ind w:firstLine="360"/>
      </w:pPr>
      <w:r>
        <w:rPr/>
      </w:r>
      <w:r>
        <w:rPr/>
      </w:r>
      <w:r>
        <w:t xml:space="preserve">The board and any duly designated officer or employee thereof may enter upon the premises of any manufactured housing community licensed pursuant to this subchapter at any reasonable time in order to determine the state of compliance with this subchapter and any rules in force pursuant to this subchapter.  The right of entry and inspection extends to any premises under its jurisdiction that the board has reason to believe are being operated or maintained without a license, but no such entry or inspection of any premises may be made without the permission of the owner or person in charge of the premises or, after hearing, upon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210,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§9086. Right of entry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§9086. Right of entry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§9086. RIGHT OF ENTRY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