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Effect of electronic filing with digital signature</w:t>
      </w:r>
    </w:p>
    <w:p>
      <w:pPr>
        <w:jc w:val="both"/>
        <w:spacing w:before="100" w:after="100"/>
        <w:ind w:start="360"/>
        <w:ind w:firstLine="360"/>
      </w:pPr>
      <w:r>
        <w:rPr/>
      </w:r>
      <w:r>
        <w:rPr/>
      </w:r>
      <w:r>
        <w:t xml:space="preserve">A state agency may allow the electronic filing of information required by that agency.  Information filed electronically with a state agency utilizing a digital signature has the same force and effect as if filed as a paper document with a manual signature.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§9505. Effect of electronic filing with digital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Effect of electronic filing with digital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§9505. EFFECT OF ELECTRONIC FILING WITH DIGITAL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