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2-1104</w:t>
        <w:t xml:space="preserve">.  </w:t>
      </w:r>
      <w:r>
        <w:rPr>
          <w:b/>
        </w:rPr>
        <w:t xml:space="preserve">Leases subject to other statutes</w:t>
      </w:r>
    </w:p>
    <w:p>
      <w:pPr>
        <w:jc w:val="both"/>
        <w:spacing w:before="100" w:after="100"/>
        <w:ind w:start="360"/>
        <w:ind w:firstLine="360"/>
      </w:pPr>
      <w:r>
        <w:rPr>
          <w:b/>
        </w:rPr>
        <w:t>(1)</w:t>
        <w:t xml:space="preserve">.  </w:t>
      </w:r>
      <w:r>
        <w:rPr>
          <w:b/>
        </w:rPr>
      </w:r>
      <w:r>
        <w:t xml:space="preserve"> </w:t>
      </w:r>
      <w:r>
        <w:t xml:space="preserve">A lease, although subject to this Article, is also subject to any applicable:</w:t>
      </w:r>
    </w:p>
    <w:p>
      <w:pPr>
        <w:jc w:val="both"/>
        <w:spacing w:before="100" w:after="0"/>
        <w:ind w:start="720"/>
      </w:pPr>
      <w:r>
        <w:rPr/>
        <w:t>(a)</w:t>
        <w:t xml:space="preserve">.  </w:t>
      </w:r>
      <w:r>
        <w:rPr/>
      </w:r>
      <w:r>
        <w:t xml:space="preserve">Certificate of title statute of this 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Certificate of title statute of another jurisdiction (</w:t>
      </w:r>
      <w:r>
        <w:t>section 2‑1105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Consumer protection statute of this State, or final consumer protection decision of a court of this State existing on the effective date of this article.  Consumer protection statutes include, but are not limited to, the Maine Unfair Trade Practices Act, </w:t>
      </w:r>
      <w:r>
        <w:t>Title 5, chapter 10</w:t>
      </w:r>
      <w:r>
        <w:t xml:space="preserve">; the Maine Consumer Credit Code, </w:t>
      </w:r>
      <w:r>
        <w:t>Title 9‑A</w:t>
      </w:r>
      <w:r>
        <w:t xml:space="preserve">; consumer loan and lease agreements laws, </w:t>
      </w:r>
      <w:r>
        <w:t>Title 10, chapter 202</w:t>
      </w:r>
      <w:r>
        <w:t xml:space="preserve">; used car information laws, </w:t>
      </w:r>
      <w:r>
        <w:t>Title 10, chapter 217</w:t>
      </w:r>
      <w:r>
        <w:t xml:space="preserve">; and warranties on new motor vehicles, </w:t>
      </w:r>
      <w:r>
        <w:t>Title 10, chapter 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In case of conflict between this Article, other than </w:t>
      </w:r>
      <w:r>
        <w:t>section 2‑1105</w:t>
      </w:r>
      <w:r>
        <w:t xml:space="preserve">, </w:t>
      </w:r>
      <w:r>
        <w:t>section 2‑1304, subsection (3)</w:t>
      </w:r>
      <w:r>
        <w:t xml:space="preserve"> and </w:t>
      </w:r>
      <w:r>
        <w:t>section 2‑1305, subsection (3)</w:t>
      </w:r>
      <w:r>
        <w:t xml:space="preserve">, and any statute referred to in </w:t>
      </w:r>
      <w:r>
        <w:t>subsection (1)</w:t>
      </w:r>
      <w:r>
        <w:t xml:space="preserve">, the statute or decision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Failure to comply with applicable law has only the effect specified in that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§2-1104. Leases subject to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§2-1104. Leases subject to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§2-1104. LEASES SUBJECT TO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