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2-1105</w:t>
        <w:t xml:space="preserve">.  </w:t>
      </w:r>
      <w:r>
        <w:rPr>
          <w:b/>
        </w:rPr>
        <w:t xml:space="preserve">Territorial application of article to goods covered by certificate of title</w:t>
      </w:r>
    </w:p>
    <w:p>
      <w:pPr>
        <w:jc w:val="both"/>
        <w:spacing w:before="100" w:after="100"/>
        <w:ind w:start="360"/>
        <w:ind w:firstLine="360"/>
      </w:pPr>
      <w:r>
        <w:rPr/>
      </w:r>
      <w:r>
        <w:rPr/>
      </w:r>
      <w:r>
        <w:t xml:space="preserve">Subject to the provisions of </w:t>
      </w:r>
      <w:r>
        <w:t>section 2‑1304, subsection (3)</w:t>
      </w:r>
      <w:r>
        <w:t xml:space="preserve"> and </w:t>
      </w:r>
      <w:r>
        <w:t>section 2‑1305, subsection (3)</w:t>
      </w:r>
      <w:r>
        <w:t xml:space="preserve">,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Surrender of the certificate;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Four months after the goods are removed from that jurisdiction and thereafter until a new certificate of title is issued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§2-1105. Territorial application of article to goods covered by certificate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§2-1105. Territorial application of article to goods covered by certificate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§2-1105. TERRITORIAL APPLICATION OF ARTICLE TO GOODS COVERED BY CERTIFICATE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