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§3-1312. Lost, destroyed, or stolen cashier's check, teller's check, or certified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§3-1312. Lost, destroyed, or stolen cashier's check, teller's check, or certified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§3-1312. LOST, DESTROYED, OR STOLEN CASHIER'S CHECK, TELLER'S CHECK, OR CERTIFIED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