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Payor bank's responsibility for late return of item</w:t>
      </w:r>
    </w:p>
    <w:p>
      <w:pPr>
        <w:jc w:val="both"/>
        <w:spacing w:before="100" w:after="100"/>
        <w:ind w:start="360"/>
        <w:ind w:firstLine="360"/>
      </w:pPr>
      <w:r>
        <w:rPr>
          <w:b/>
        </w:rPr>
        <w:t>(1)</w:t>
        <w:t xml:space="preserve">.  </w:t>
      </w:r>
      <w:r>
        <w:rPr>
          <w:b/>
        </w:rPr>
      </w:r>
      <w:r>
        <w:t xml:space="preserve"> </w:t>
      </w:r>
      <w:r>
        <w:t xml:space="preserve">If an item is presented to and received by a payor bank, the bank is accountable for the amount of:</w:t>
      </w:r>
    </w:p>
    <w:p>
      <w:pPr>
        <w:jc w:val="both"/>
        <w:spacing w:before="100" w:after="0"/>
        <w:ind w:start="720"/>
      </w:pPr>
      <w:r>
        <w:rPr/>
        <w:t>(a)</w:t>
        <w:t xml:space="preserve">.  </w:t>
      </w:r>
      <w:r>
        <w:rPr/>
      </w:r>
      <w:r>
        <w:t xml:space="preserve">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r>
        <w:t xml:space="preserve">  </w:t>
      </w:r>
      <w:r xmlns:wp="http://schemas.openxmlformats.org/drawingml/2010/wordprocessingDrawing" xmlns:w15="http://schemas.microsoft.com/office/word/2012/wordml">
        <w:rPr>
          <w:rFonts w:ascii="Arial" w:hAnsi="Arial" w:cs="Arial"/>
          <w:sz w:val="22"/>
          <w:szCs w:val="22"/>
        </w:rPr>
        <w:t xml:space="preserve">[PL 1993, c. 293, Pt. B, §37 (NEW).]</w:t>
      </w:r>
    </w:p>
    <w:p>
      <w:pPr>
        <w:jc w:val="both"/>
        <w:spacing w:before="100" w:after="0"/>
        <w:ind w:start="720"/>
      </w:pPr>
      <w:r>
        <w:rPr/>
        <w:t>(b)</w:t>
        <w:t xml:space="preserve">.  </w:t>
      </w:r>
      <w:r>
        <w:rPr/>
      </w:r>
      <w:r>
        <w:t xml:space="preserve">Any other properly payable item, unless, within the time allowed for acceptance or payment of that item, the bank either accepts or pays the item or returns it and accompanying documents.</w:t>
      </w:r>
      <w:r>
        <w:t xml:space="preserve">  </w:t>
      </w:r>
      <w:r xmlns:wp="http://schemas.openxmlformats.org/drawingml/2010/wordprocessingDrawing" xmlns:w15="http://schemas.microsoft.com/office/word/2012/wordml">
        <w:rPr>
          <w:rFonts w:ascii="Arial" w:hAnsi="Arial" w:cs="Arial"/>
          <w:sz w:val="22"/>
          <w:szCs w:val="22"/>
        </w:rPr>
        <w:t xml:space="preserve">[PL 1993, c. 293, Pt. B, §37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§37 (RPR).]</w:t>
      </w:r>
    </w:p>
    <w:p>
      <w:pPr>
        <w:jc w:val="both"/>
        <w:spacing w:before="100" w:after="0"/>
        <w:ind w:start="360"/>
        <w:ind w:firstLine="360"/>
      </w:pPr>
      <w:r>
        <w:rPr>
          <w:b/>
        </w:rPr>
        <w:t>(2)</w:t>
        <w:t xml:space="preserve">.  </w:t>
      </w:r>
      <w:r>
        <w:rPr>
          <w:b/>
        </w:rPr>
      </w:r>
      <w:r>
        <w:t xml:space="preserve"> </w:t>
      </w:r>
      <w:r>
        <w:t xml:space="preserve">The liability of a payor bank to pay an item pursuant to </w:t>
      </w:r>
      <w:r>
        <w:t>subsection (1)</w:t>
      </w:r>
      <w:r>
        <w:t xml:space="preserve"> is subject to defenses based on breach of a presentment warranty (</w:t>
      </w:r>
      <w:r>
        <w:t>section 4‑207‑B</w:t>
      </w:r>
      <w:r>
        <w:t xml:space="preserve">) or proof that the person seeking enforcement of the liability presented or transferred the item for the purpose of defrauding the payor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§37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§B37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Payor bank's responsibility for late return of item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Payor bank's responsibility for late return of item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§4-302. PAYOR BANK'S RESPONSIBILITY FOR LATE RETURN OF ITEM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