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5-1113</w:t>
        <w:t xml:space="preserve">.  </w:t>
      </w:r>
      <w:r>
        <w:rPr>
          <w:b/>
        </w:rPr>
        <w:t xml:space="preserve">Transfer by operation of law</w:t>
      </w:r>
    </w:p>
    <w:p>
      <w:pPr>
        <w:jc w:val="both"/>
        <w:spacing w:before="100" w:after="0"/>
        <w:ind w:start="360"/>
        <w:ind w:firstLine="360"/>
      </w:pPr>
      <w:r>
        <w:rPr>
          <w:b/>
        </w:rPr>
        <w:t>(1)</w:t>
        <w:t xml:space="preserve">.  </w:t>
      </w:r>
      <w:r>
        <w:rPr>
          <w:b/>
        </w:rPr>
      </w:r>
      <w:r>
        <w:t xml:space="preserve"> </w:t>
      </w:r>
      <w:r>
        <w:t xml:space="preserve">A successor of a beneficiary may consent to amendments, sign and present documents and receive payment or other items of value in the name of the beneficiary without disclosing its status as a successor.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 successor of a beneficiary may consent to amendments, sign and present documents and receive payment or other items of value in its own name as the disclosed successor of the beneficiary.  Except as otherwise provided in </w:t>
      </w:r>
      <w:r>
        <w:t>subsection (5)</w:t>
      </w:r>
      <w:r>
        <w:t xml:space="preserv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w:t>
      </w:r>
      <w:r>
        <w:t>section 5‑1108, subsection (5)</w:t>
      </w:r>
      <w:r>
        <w:t xml:space="preserve"> or, in the absence of such a practice, compliance with other reasonable procedures sufficient to protect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An issuer is not obliged to determine whether a purported successor is a successor of a beneficiary or whether the signature of a purported successor is genuine or authorized.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Honor of a purported successor's apparently complying presentation under </w:t>
      </w:r>
      <w:r>
        <w:t>subsection (1)</w:t>
      </w:r>
      <w:r>
        <w:t xml:space="preserve"> or </w:t>
      </w:r>
      <w:r>
        <w:t>(2)</w:t>
      </w:r>
      <w:r>
        <w:t xml:space="preserve"> has the consequences specified in </w:t>
      </w:r>
      <w:r>
        <w:t>section 5‑1108, subsection (9)</w:t>
      </w:r>
      <w:r>
        <w:t xml:space="preserve"> even if the purported successor is not the successor of a beneficiary.  Documents signed in the name of the beneficiary or of a disclosed successor by a person who is neither the beneficiary nor the successor of the beneficiary are forged documents for the purposes of </w:t>
      </w:r>
      <w:r>
        <w:t>section 5‑1109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(5)</w:t>
        <w:t xml:space="preserve">.  </w:t>
      </w:r>
      <w:r>
        <w:rPr>
          <w:b/>
        </w:rPr>
      </w:r>
      <w:r>
        <w:t xml:space="preserve"> </w:t>
      </w:r>
      <w:r>
        <w:t xml:space="preserve">An issuer whose rights of reimbursement are not covered by </w:t>
      </w:r>
      <w:r>
        <w:t>subsection (4)</w:t>
      </w:r>
      <w:r>
        <w:t xml:space="preserve"> or substantially similar law and any confirmer or nominated person may decline to recognize a presentation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(6)</w:t>
        <w:t xml:space="preserve">.  </w:t>
      </w:r>
      <w:r>
        <w:rPr>
          <w:b/>
        </w:rPr>
      </w:r>
      <w:r>
        <w:t xml:space="preserve"> </w:t>
      </w:r>
      <w:r>
        <w:t xml:space="preserve">A beneficiary whose name is changed after the issuance of a letter of credit has the same rights and obligations as a successor of a beneficiary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§5-1113. Transfer by operation of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§5-1113. Transfer by operation of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§5-1113. TRANSFER BY OPERATION OF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